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eastAsia="黑体"/>
          <w:color w:val="000000"/>
          <w:kern w:val="0"/>
          <w:sz w:val="32"/>
          <w:szCs w:val="32"/>
        </w:rPr>
      </w:pPr>
      <w:r>
        <w:rPr>
          <w:rFonts w:eastAsia="黑体"/>
          <w:color w:val="000000"/>
          <w:kern w:val="0"/>
          <w:sz w:val="32"/>
          <w:szCs w:val="32"/>
        </w:rPr>
        <w:t>附件2</w:t>
      </w:r>
    </w:p>
    <w:p>
      <w:pPr>
        <w:spacing w:line="584" w:lineRule="exact"/>
        <w:jc w:val="center"/>
        <w:rPr>
          <w:rFonts w:eastAsia="方正小标宋简体"/>
          <w:bCs/>
          <w:sz w:val="44"/>
          <w:szCs w:val="44"/>
        </w:rPr>
      </w:pPr>
      <w:r>
        <w:rPr>
          <w:rFonts w:hint="eastAsia" w:eastAsia="方正小标宋简体"/>
          <w:bCs/>
          <w:sz w:val="44"/>
          <w:szCs w:val="44"/>
          <w:lang w:val="en-US" w:eastAsia="zh-CN"/>
        </w:rPr>
        <w:t>县</w:t>
      </w:r>
      <w:r>
        <w:rPr>
          <w:rFonts w:eastAsia="方正小标宋简体"/>
          <w:bCs/>
          <w:sz w:val="44"/>
          <w:szCs w:val="44"/>
        </w:rPr>
        <w:t>直部门绩效自评情况汇总表</w:t>
      </w:r>
    </w:p>
    <w:p>
      <w:pPr>
        <w:spacing w:line="584" w:lineRule="exact"/>
        <w:jc w:val="center"/>
        <w:rPr>
          <w:rFonts w:eastAsia="仿宋_GB2312"/>
          <w:b/>
          <w:bCs/>
          <w:color w:val="000000"/>
          <w:kern w:val="0"/>
          <w:sz w:val="32"/>
          <w:szCs w:val="32"/>
        </w:rPr>
      </w:pPr>
    </w:p>
    <w:p>
      <w:pPr>
        <w:spacing w:line="584" w:lineRule="exact"/>
        <w:rPr>
          <w:rFonts w:eastAsia="仿宋_GB2312"/>
          <w:bCs/>
          <w:color w:val="000000"/>
          <w:kern w:val="0"/>
          <w:sz w:val="32"/>
          <w:szCs w:val="32"/>
        </w:rPr>
      </w:pPr>
      <w:r>
        <w:rPr>
          <w:rFonts w:eastAsia="仿宋_GB2312"/>
          <w:bCs/>
          <w:color w:val="000000"/>
          <w:kern w:val="0"/>
          <w:sz w:val="32"/>
          <w:szCs w:val="32"/>
        </w:rPr>
        <w:t>填报部门：</w:t>
      </w:r>
      <w:r>
        <w:rPr>
          <w:rFonts w:hint="eastAsia" w:eastAsia="仿宋_GB2312"/>
          <w:bCs/>
          <w:color w:val="000000"/>
          <w:kern w:val="0"/>
          <w:sz w:val="32"/>
          <w:szCs w:val="32"/>
          <w:lang w:eastAsia="zh-CN"/>
        </w:rPr>
        <w:t>大厂回族自治交通运输局</w:t>
      </w:r>
      <w:r>
        <w:rPr>
          <w:rFonts w:eastAsia="仿宋_GB2312"/>
          <w:bCs/>
          <w:color w:val="000000"/>
          <w:kern w:val="0"/>
          <w:sz w:val="32"/>
          <w:szCs w:val="32"/>
        </w:rPr>
        <w:t xml:space="preserve">          单位：万元</w:t>
      </w:r>
    </w:p>
    <w:tbl>
      <w:tblPr>
        <w:tblStyle w:val="2"/>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2161"/>
        <w:gridCol w:w="2021"/>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984" w:type="dxa"/>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统计内容</w:t>
            </w:r>
          </w:p>
        </w:tc>
        <w:tc>
          <w:tcPr>
            <w:tcW w:w="2161" w:type="dxa"/>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应评价数</w:t>
            </w:r>
          </w:p>
        </w:tc>
        <w:tc>
          <w:tcPr>
            <w:tcW w:w="3807" w:type="dxa"/>
            <w:gridSpan w:val="2"/>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已评价数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84" w:type="dxa"/>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项目数量（个）</w:t>
            </w:r>
          </w:p>
        </w:tc>
        <w:tc>
          <w:tcPr>
            <w:tcW w:w="2161" w:type="dxa"/>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50</w:t>
            </w:r>
          </w:p>
        </w:tc>
        <w:tc>
          <w:tcPr>
            <w:tcW w:w="3807" w:type="dxa"/>
            <w:gridSpan w:val="2"/>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984" w:type="dxa"/>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资金总量</w:t>
            </w:r>
          </w:p>
        </w:tc>
        <w:tc>
          <w:tcPr>
            <w:tcW w:w="2161" w:type="dxa"/>
            <w:tcBorders>
              <w:bottom w:val="single" w:color="auto" w:sz="4" w:space="0"/>
            </w:tcBorders>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8195.12588</w:t>
            </w:r>
          </w:p>
        </w:tc>
        <w:tc>
          <w:tcPr>
            <w:tcW w:w="3807" w:type="dxa"/>
            <w:gridSpan w:val="2"/>
            <w:noWrap w:val="0"/>
            <w:vAlign w:val="center"/>
          </w:tcPr>
          <w:p>
            <w:pPr>
              <w:spacing w:line="584" w:lineRule="exact"/>
              <w:jc w:val="center"/>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8195.12588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restart"/>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绩效评价等级（个）</w:t>
            </w:r>
          </w:p>
        </w:tc>
        <w:tc>
          <w:tcPr>
            <w:tcW w:w="2161" w:type="dxa"/>
            <w:vMerge w:val="restart"/>
            <w:tcBorders>
              <w:top w:val="single" w:color="auto" w:sz="4" w:space="0"/>
            </w:tcBorders>
            <w:noWrap w:val="0"/>
            <w:vAlign w:val="top"/>
          </w:tcPr>
          <w:p>
            <w:pPr>
              <w:spacing w:line="584" w:lineRule="exact"/>
              <w:jc w:val="center"/>
              <w:rPr>
                <w:rFonts w:eastAsia="仿宋_GB2312"/>
                <w:color w:val="000000"/>
                <w:kern w:val="0"/>
                <w:sz w:val="32"/>
                <w:szCs w:val="32"/>
              </w:rPr>
            </w:pPr>
          </w:p>
          <w:p>
            <w:pPr>
              <w:bidi w:val="0"/>
              <w:rPr>
                <w:rFonts w:ascii="Times New Roman" w:hAnsi="Times New Roman" w:eastAsia="宋体" w:cs="Times New Roman"/>
                <w:kern w:val="2"/>
                <w:sz w:val="21"/>
                <w:lang w:val="en-US" w:eastAsia="zh-CN" w:bidi="ar-SA"/>
              </w:rPr>
            </w:pPr>
          </w:p>
          <w:p>
            <w:pPr>
              <w:bidi w:val="0"/>
              <w:jc w:val="center"/>
              <w:rPr>
                <w:rFonts w:hint="default"/>
                <w:lang w:val="en-US" w:eastAsia="zh-CN"/>
              </w:rPr>
            </w:pPr>
            <w:r>
              <w:rPr>
                <w:rFonts w:hint="eastAsia" w:eastAsia="仿宋_GB2312"/>
                <w:color w:val="000000"/>
                <w:kern w:val="0"/>
                <w:sz w:val="32"/>
                <w:szCs w:val="32"/>
                <w:lang w:val="en-US" w:eastAsia="zh-CN"/>
              </w:rPr>
              <w:t>50</w:t>
            </w:r>
          </w:p>
        </w:tc>
        <w:tc>
          <w:tcPr>
            <w:tcW w:w="2021" w:type="dxa"/>
            <w:tcBorders>
              <w:bottom w:val="single" w:color="auto" w:sz="4" w:space="0"/>
              <w:right w:val="single" w:color="auto" w:sz="4" w:space="0"/>
            </w:tcBorders>
            <w:noWrap w:val="0"/>
            <w:vAlign w:val="top"/>
          </w:tcPr>
          <w:p>
            <w:pPr>
              <w:spacing w:line="584" w:lineRule="exact"/>
              <w:rPr>
                <w:rFonts w:eastAsia="仿宋_GB2312"/>
                <w:color w:val="000000"/>
                <w:kern w:val="0"/>
                <w:sz w:val="32"/>
                <w:szCs w:val="32"/>
              </w:rPr>
            </w:pPr>
            <w:r>
              <w:rPr>
                <w:rFonts w:eastAsia="仿宋_GB2312"/>
                <w:color w:val="000000"/>
                <w:kern w:val="0"/>
                <w:sz w:val="32"/>
                <w:szCs w:val="32"/>
              </w:rPr>
              <w:t>其中：优</w:t>
            </w:r>
          </w:p>
        </w:tc>
        <w:tc>
          <w:tcPr>
            <w:tcW w:w="1786" w:type="dxa"/>
            <w:tcBorders>
              <w:left w:val="single" w:color="auto" w:sz="4" w:space="0"/>
              <w:bottom w:val="single" w:color="auto" w:sz="4" w:space="0"/>
            </w:tcBorders>
            <w:noWrap w:val="0"/>
            <w:vAlign w:val="top"/>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top w:val="single" w:color="auto" w:sz="4" w:space="0"/>
              <w:right w:val="single" w:color="auto" w:sz="4" w:space="0"/>
            </w:tcBorders>
            <w:noWrap w:val="0"/>
            <w:vAlign w:val="top"/>
          </w:tcPr>
          <w:p>
            <w:pPr>
              <w:spacing w:line="584" w:lineRule="exact"/>
              <w:ind w:firstLine="960" w:firstLineChars="300"/>
              <w:rPr>
                <w:rFonts w:eastAsia="仿宋_GB2312"/>
                <w:color w:val="000000"/>
                <w:kern w:val="0"/>
                <w:sz w:val="32"/>
                <w:szCs w:val="32"/>
              </w:rPr>
            </w:pPr>
            <w:r>
              <w:rPr>
                <w:rFonts w:eastAsia="仿宋_GB2312"/>
                <w:color w:val="000000"/>
                <w:kern w:val="0"/>
                <w:sz w:val="32"/>
                <w:szCs w:val="32"/>
              </w:rPr>
              <w:t>良</w:t>
            </w:r>
          </w:p>
        </w:tc>
        <w:tc>
          <w:tcPr>
            <w:tcW w:w="1786" w:type="dxa"/>
            <w:tcBorders>
              <w:top w:val="single" w:color="auto" w:sz="4" w:space="0"/>
              <w:left w:val="single" w:color="auto" w:sz="4" w:space="0"/>
            </w:tcBorders>
            <w:noWrap w:val="0"/>
            <w:vAlign w:val="top"/>
          </w:tcPr>
          <w:p>
            <w:pPr>
              <w:spacing w:line="584" w:lineRule="exact"/>
              <w:jc w:val="center"/>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right w:val="single" w:color="auto" w:sz="4" w:space="0"/>
            </w:tcBorders>
            <w:noWrap w:val="0"/>
            <w:vAlign w:val="top"/>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中</w:t>
            </w:r>
          </w:p>
        </w:tc>
        <w:tc>
          <w:tcPr>
            <w:tcW w:w="1786" w:type="dxa"/>
            <w:tcBorders>
              <w:left w:val="single" w:color="auto" w:sz="4" w:space="0"/>
            </w:tcBorders>
            <w:noWrap w:val="0"/>
            <w:vAlign w:val="top"/>
          </w:tcPr>
          <w:p>
            <w:pPr>
              <w:spacing w:line="584" w:lineRule="exact"/>
              <w:jc w:val="center"/>
              <w:rPr>
                <w:rFonts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right w:val="single" w:color="auto" w:sz="4" w:space="0"/>
            </w:tcBorders>
            <w:noWrap w:val="0"/>
            <w:vAlign w:val="top"/>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差</w:t>
            </w:r>
          </w:p>
        </w:tc>
        <w:tc>
          <w:tcPr>
            <w:tcW w:w="1786" w:type="dxa"/>
            <w:tcBorders>
              <w:left w:val="single" w:color="auto" w:sz="4" w:space="0"/>
            </w:tcBorders>
            <w:noWrap w:val="0"/>
            <w:vAlign w:val="top"/>
          </w:tcPr>
          <w:p>
            <w:pPr>
              <w:spacing w:line="584" w:lineRule="exact"/>
              <w:jc w:val="center"/>
              <w:rPr>
                <w:rFonts w:eastAsia="仿宋_GB2312"/>
                <w:color w:val="000000"/>
                <w:kern w:val="0"/>
                <w:sz w:val="32"/>
                <w:szCs w:val="32"/>
              </w:rPr>
            </w:pPr>
          </w:p>
        </w:tc>
      </w:tr>
    </w:tbl>
    <w:p>
      <w:pPr>
        <w:spacing w:line="584" w:lineRule="exact"/>
        <w:rPr>
          <w:rFonts w:eastAsia="黑体"/>
          <w:color w:val="000000"/>
          <w:kern w:val="0"/>
          <w:sz w:val="32"/>
          <w:szCs w:val="32"/>
        </w:rPr>
      </w:pPr>
    </w:p>
    <w:p>
      <w:pPr>
        <w:spacing w:line="584" w:lineRule="exact"/>
        <w:rPr>
          <w:rFonts w:hint="eastAsia" w:ascii="仿宋_GB2312" w:eastAsia="仿宋_GB2312"/>
          <w:color w:val="000000"/>
          <w:kern w:val="0"/>
          <w:sz w:val="28"/>
          <w:szCs w:val="28"/>
        </w:rPr>
      </w:pPr>
      <w:r>
        <w:rPr>
          <w:rFonts w:hint="eastAsia" w:ascii="仿宋_GB2312" w:eastAsia="仿宋_GB2312"/>
          <w:color w:val="000000"/>
          <w:kern w:val="0"/>
          <w:sz w:val="28"/>
          <w:szCs w:val="28"/>
        </w:rPr>
        <w:t>注：</w:t>
      </w:r>
      <w:r>
        <w:rPr>
          <w:rFonts w:hint="eastAsia" w:ascii="仿宋_GB2312" w:eastAsia="仿宋_GB2312"/>
          <w:color w:val="000000"/>
          <w:kern w:val="0"/>
          <w:sz w:val="28"/>
          <w:szCs w:val="28"/>
          <w:lang w:val="en-US" w:eastAsia="zh-CN"/>
        </w:rPr>
        <w:t>1、</w:t>
      </w:r>
      <w:r>
        <w:rPr>
          <w:rFonts w:hint="eastAsia" w:ascii="仿宋_GB2312" w:eastAsia="仿宋_GB2312"/>
          <w:color w:val="000000"/>
          <w:kern w:val="0"/>
          <w:sz w:val="28"/>
          <w:szCs w:val="28"/>
        </w:rPr>
        <w:t>资金总量的应评价数、已评价数都为预算金额数。</w:t>
      </w:r>
    </w:p>
    <w:p>
      <w:pPr>
        <w:numPr>
          <w:ilvl w:val="0"/>
          <w:numId w:val="0"/>
        </w:numPr>
        <w:spacing w:line="240" w:lineRule="auto"/>
        <w:ind w:leftChars="0" w:firstLine="560" w:firstLineChars="200"/>
        <w:rPr>
          <w:rFonts w:hint="eastAsia" w:ascii="仿宋_GB2312" w:eastAsia="仿宋_GB2312"/>
          <w:color w:val="000000"/>
          <w:kern w:val="0"/>
          <w:sz w:val="28"/>
          <w:szCs w:val="28"/>
        </w:rPr>
      </w:pPr>
      <w:r>
        <w:rPr>
          <w:rFonts w:hint="eastAsia" w:ascii="仿宋_GB2312" w:eastAsia="仿宋_GB2312"/>
          <w:color w:val="000000"/>
          <w:kern w:val="0"/>
          <w:sz w:val="28"/>
          <w:szCs w:val="28"/>
          <w:lang w:val="en-US" w:eastAsia="zh-CN"/>
        </w:rPr>
        <w:t>2、</w:t>
      </w:r>
      <w:r>
        <w:rPr>
          <w:rFonts w:hint="eastAsia" w:ascii="仿宋_GB2312" w:eastAsia="仿宋_GB2312"/>
          <w:color w:val="000000"/>
          <w:kern w:val="0"/>
          <w:sz w:val="28"/>
          <w:szCs w:val="28"/>
        </w:rPr>
        <w:t>严格按照实际确定项目评价分数，对于复核中分数差异过大的将酌情扣减评价项目分数或降低评价等级。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D2750B"/>
    <w:rsid w:val="0E025040"/>
    <w:rsid w:val="48D2750B"/>
    <w:rsid w:val="4944689B"/>
    <w:rsid w:val="69D62AD4"/>
    <w:rsid w:val="78473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2022-04-12T07:34:00Z</dcterms:created>
  <dc:creator>JTJ</dc:creator>
  <cp:lastModifiedBy>JTJ</cp:lastModifiedBy>
  <dcterms:modified xsi:type="dcterms:W3CDTF">2022-04-14T02:04:47Z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